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Сердечно-сосудистая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Сердечно-сосудистая хирургия | Записей: 2</w:t>
      </w:r>
    </w:p>
    <w:p>
      <w:r>
        <w:br w:type="page"/>
      </w:r>
    </w:p>
    <w:p>
      <w:pPr>
        <w:pStyle w:val="Heading1"/>
      </w:pPr>
      <w:r>
        <w:t>Сердечно-сосудистая 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35 лет обратился к кардиологу поликлиники в плановом порядке.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 в покое усиливающуюся при физических нагрузках, перебои в работе сердца, периодические помутнения сознания (предобморочные состояния).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течении трех лет, когда впервые появилась одышка в покое, головокружения. Затем присоединились перебои в работе сердца и предобморочные состояния. До настоящего момента по текущему заболеванию к врачу не обращался.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Бытовые, пищевые и лекарственные аллергии отрицает.</w:t>
      </w:r>
    </w:p>
    <w:p>
      <w:pPr>
        <w:spacing w:after="58"/>
      </w:pPr>
      <w:r>
        <w:rPr>
          <w:b w:val="0"/>
          <w:i w:val="0"/>
        </w:rPr>
        <w:t>Привычные интоксикации отрицает.</w:t>
      </w:r>
    </w:p>
    <w:p>
      <w:pPr>
        <w:spacing w:after="58"/>
      </w:pPr>
      <w:r>
        <w:rPr>
          <w:b w:val="0"/>
          <w:i w:val="0"/>
        </w:rPr>
        <w:t>Профессиональные вредности отрицает.</w:t>
      </w:r>
    </w:p>
    <w:p>
      <w:pPr>
        <w:spacing w:after="58"/>
      </w:pPr>
      <w:r>
        <w:rPr>
          <w:b w:val="0"/>
          <w:i w:val="0"/>
        </w:rPr>
        <w:t>Семейный анамнез: со слов пациента отец умер в 44 года от остановки сердца.</w:t>
      </w:r>
    </w:p>
    <w:p>
      <w:pPr>
        <w:spacing w:after="58"/>
      </w:pPr>
      <w:r>
        <w:rPr>
          <w:b w:val="0"/>
          <w:i w:val="0"/>
        </w:rPr>
        <w:t>Хронические заболевания: отрицает, при осмотре не выявлены.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стабильное. Рост 182 см, масса тела 82 кг, ИМТ 24,8 кг/м2. Кожные покровы физиологической окраски. Периферических отеков нет. На момент осмотра умеренная одышка смешанного характера, ЧДД 19-20 в 1 мин. Тоны сердца ритмичные, ЧСС 90 в 1 мин, АД 125/85 мм рт. ст. Живот мягкий, безболезненный. Печень по краю реберной дуги. Пульсация периферических артерий отчетливая, соответствует ЧСС. Аускультативно слабый систолический шум над верхушкой сердца.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инструментальным методом исследования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ретгенография органов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электрокардиография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функция внешнего дыхания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ЭКГ с физической нагрузкой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эхокардиография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холтеровское мониторирование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электрокардиография; эхокардиография; холтеровское мониторирование</w:t>
      </w:r>
    </w:p>
    <w:p>
      <w:pPr>
        <w:ind w:left="504"/>
      </w:pPr>
      <w:r>
        <w:rPr>
          <w:b w:val="0"/>
          <w:i/>
        </w:rPr>
        <w:t>Регистрация электрокардиограммы рекомендуется всем пациентам при первичном обследовании с подозрением на ГКМП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ГКМП при первичном обследовании рекомендовано выполнение 2D и допплеровской эхокардиографии,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ХМ сердечного ритма рекомендуется всем пациентам с ГКМП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 для постановки диагноза лабораторным исследованием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кардиоспецифических ферментов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оценка уровня холестерина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мозгового натрийуретического пептида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генетическое тестирование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генетическое тестирование</w:t>
      </w:r>
    </w:p>
    <w:p>
      <w:pPr>
        <w:ind w:left="504"/>
      </w:pPr>
      <w:r>
        <w:rPr>
          <w:b w:val="0"/>
          <w:i/>
        </w:rPr>
        <w:t>При наличии симптомов и признаков заболеваний, предполагающих специфические причины ГКМП рекомендуется генетическое тестирование для подтверждения диагноза.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верификации диагноза в данной клинической ситуации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коронарографию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МСКТ (мультиспиральную компьютерную томографию) сердца без контрастного усиления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двухэтапную сцинтиграфию миокарда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МРТ (магнитно-резонансную томографию) сердца с контрастным усилением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(магнитно-резонансную томографию) сердца с контрастным усилением</w:t>
      </w:r>
    </w:p>
    <w:p>
      <w:pPr>
        <w:ind w:left="504"/>
      </w:pPr>
      <w:r>
        <w:rPr>
          <w:b w:val="0"/>
          <w:i/>
        </w:rPr>
        <w:t>Для верификации диагноза в данной клинической ситуации необходимо провести МРТ (магнитно-резонансную томографию) сердца с контрастным усилением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данной клинической ситуации наиболее вероятным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Критический стеноз аортального клапана в сочетании с недостаточностью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Дилятационная кардиомиопатия с функциональной недостаточностью митрального и трикуспидального клапанов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Гипертрофическая кардиомиопатия с обструкцией выходного отдела левого желудочка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Ишемическая кардиомиопатия с сопутствующим стенозом аортального клапана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Гипертрофическая кардиомиопатия с обструкцией выходного отдела левого желудочка</w:t>
      </w:r>
    </w:p>
    <w:p>
      <w:pPr>
        <w:ind w:left="504"/>
      </w:pPr>
      <w:r>
        <w:rPr>
          <w:b w:val="0"/>
          <w:i/>
        </w:rPr>
        <w:t>Согласно проведенным обследованиям имеет место обструкция выходного отдела левого желудочка в следствии гипертрофической кардиомиопатии, что подтверждают инструментальные и лабораторные методы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Оптимальным эндоваскулярным методом лечения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спиртовая редукция миокарда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протезирование аортального клапана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закрытая комиссуротомия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вальвулодилатация аортального клапана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спиртовая редукция миокарда</w:t>
      </w:r>
    </w:p>
    <w:p>
      <w:pPr>
        <w:ind w:left="504"/>
      </w:pPr>
      <w:r>
        <w:rPr>
          <w:b w:val="0"/>
          <w:i/>
        </w:rPr>
        <w:t>При выборе эндоваскулярного лечения оптимальным методом является этаноловая септальная абляция (ЭСА).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качестве антиаритмической терапии в данном случае показаны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блокаторы натриевых каналов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ингибиторы АПФ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альфа-адреноблокаторы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бета-адреноблокаторы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бета-адреноблокаторы</w:t>
      </w:r>
    </w:p>
    <w:p>
      <w:pPr>
        <w:ind w:left="504"/>
      </w:pPr>
      <w:r>
        <w:rPr>
          <w:b w:val="0"/>
          <w:i/>
        </w:rPr>
        <w:t>У пациентов с обструкцией ВТЛЖ (покоя и индуцируемой) бета-адреноблокаторы с подбором максимальной переносимой дозы рекомендуются в качестве первой линии терапии для уменьшения симптомов.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данной клинической ситуации оптимальным методом хирургического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миоэктомия по Morrow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процедура Росса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пластика аортального клапана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протезирование аортального клапана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миоэктомия по Morrow</w:t>
      </w:r>
    </w:p>
    <w:p>
      <w:pPr>
        <w:ind w:left="504"/>
      </w:pPr>
      <w:r>
        <w:rPr>
          <w:b w:val="0"/>
          <w:i/>
        </w:rPr>
        <w:t>В данной клинической ситуации оптимальным методом хирургического лечения является миоэктомия по Morrow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Редукция межжелудочковой перегородки показана пациентам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максимальным провоцируемым градиентом давления &gt; 30 мм рт. 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постоянной одышкой и головокружениями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максимальным провоцируемым градиентом давления &gt; 50 мм рт. 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толщиной межжелудочковой перегородки до 1,5 см по данным ЭхоКГ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максимальным провоцируемым градиентом давления &gt; 50 мм рт. ст</w:t>
      </w:r>
    </w:p>
    <w:p>
      <w:pPr>
        <w:ind w:left="504"/>
      </w:pPr>
      <w:r>
        <w:rPr>
          <w:b w:val="0"/>
          <w:i/>
        </w:rPr>
        <w:t>Редукция межжелудочковой перегородки показана пациентам с обструктивной формой ГКМП. Под обструктивной ГКМП рассматриваются следующие варианты обструкции: ГД в ВТЛЖ (в покое или максимально провоцируемый) ≥ 50 мм рт.ст., в том числе при двухуровневой обструкции (среднежелудочковая  обструкция или обструкция на уровне хорд); двухжелудочковая обструкция (ГД в ВТЛЖ в покое или максимально провоцируемый ≥ 50 мм рт.ст; ГД в ВТПЖ &gt; 16 мм рт.ст. в покое).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Пациентом с ГКМП и фракцией выброса левого желудочка (ФВЛЖ) +__________+ и симптомами +________+ функционального класса (ФК) по NYHA показана ортотопическая трансплантация сердца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менее 50%; III-IV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60%; I-II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50%; I-II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менее 60%; III-IV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50%; III-IV</w:t>
      </w:r>
    </w:p>
    <w:p>
      <w:pPr>
        <w:ind w:left="504"/>
      </w:pPr>
      <w:r>
        <w:rPr>
          <w:b w:val="0"/>
          <w:i/>
        </w:rPr>
        <w:t>С фракцией выброса левого желудочка (ФВЛЖ) менее 50% и симптомами III-IV функционального класса (ФК) по NYHA показана ортотопическая трансплантация сердца.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Показанием для имплантации искусственного кардиовертера дефибриллятора в данной ситуации является риск внезапной сердечной смерти не менее +___+ %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Абсолютным показанием для имплантации искусственного кардиовертера дефибриллятора пятилетний риск внезапной сердечной смерти не менее 6%.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Основными электрокардиографическими признаками гипертрофической кардиомиопатии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признаки гипертрофии левого желудочка/ увеличение комплекса QRS во всех отведениях, перегрузка миокарда левого предсердия и нарушение предсердно-желудочковой проводимости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патологические Q-зубцы в нижне-боковых отведениях, Q/T-дискордантность, изменения реполяризации, ГЛЖ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смещение оси сердца влево, синусовая брадикардия и элевация сегмента ST в V1-V3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ритм фибрилляции предсердий, признаки перегрузки правых отделов сердца и депрессия зубца Т менее 10 мм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патологические Q-зубцы в нижне-боковых отведениях, Q/T-дискордантность, изменения реполяризации, ГЛЖ</w:t>
      </w:r>
    </w:p>
    <w:p>
      <w:pPr>
        <w:ind w:left="504"/>
      </w:pPr>
      <w:r>
        <w:rPr>
          <w:b w:val="0"/>
          <w:i/>
        </w:rPr>
        <w:t>Выделяют несколько паттернов, характерных для «классического фенотипа» ГКМП:</w:t>
        <w:br/>
        <w:br/>
        <w:t>1.</w:t>
        <w:tab/>
        <w:t>Патологические Q-зубцы в нижне-боковых отведениях (при этом в отведениях с патологическими Q регистрируются положительные Т - т. наз Q/T-дискордантность) + изменения реполяризации + ГЛЖ (критерии Romhilt-Estes);</w:t>
        <w:br/>
        <w:t>2.</w:t>
        <w:tab/>
        <w:t>Гигантские симметричные (-)Т-зубцы – при верхушечной ГКМП (транзиторное углубление отрицательных Т может свидетельствовать об ишемии, требующей реваскуляризации;</w:t>
        <w:br/>
        <w:t>3.</w:t>
        <w:tab/>
        <w:t>«Псевдо-STEMI» паттерн (подъем сегмента ST и/или высокие (+)Т в 2-х и более последовательных отведениях при отсутствии БЛНПГ);</w:t>
        <w:br/>
        <w:t>4.</w:t>
        <w:tab/>
        <w:t>Депрессия сегмента ST;</w:t>
        <w:br/>
        <w:t>5.</w:t>
        <w:tab/>
        <w:t>Неспецифические изменения сегмента ST и зубца Т на ЭКГ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Наиболее частой жалобой у пациентов с обструктивной формой гипетрофической кардиомиопатии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перебои в работе сердца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синкопальные состояния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прогрессирующая одышка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кардиалгия в покое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прогрессирующая одышка</w:t>
      </w:r>
    </w:p>
    <w:p>
      <w:pPr>
        <w:ind w:left="504"/>
      </w:pPr>
      <w:r>
        <w:rPr>
          <w:b w:val="0"/>
          <w:i/>
        </w:rPr>
        <w:t>Наиболее частой жалобой у пациентов с обструктивной формой гипертрофической кардиомиопатии является прогрессирующая одышка.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Сердечно-сосудистая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50 лет, обратилась на консультацию к кардиологу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редкий пульс до 35-38/мин, сопровождающийся головокружением и слабостью.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2 месяцев, когда после перенесенной ОРВИ, стала отмечать появление выраженной слабости и головокружения. Состояние связывала с последствиями ОРВИ, за медицинской помощью не обращалась. В динамике стала отмечать появление одышки при небольшой физической нагрузке, эпизодов потемнения в глазах при вертикализации. По совету подруги приобрела электронный тонометр, при использовании которого обратила внимание на постоянно редкий пульс в пределах 36-38/мин на фоне повышенных цифр АД до 180/100 мм рт.ст. Амбулаторно выполнила суточное мониторирование ЭКГ, после чего обратилась на консультацию к аритмологу.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 наличие хронических заболеваний отрицает</w:t>
      </w:r>
    </w:p>
    <w:p>
      <w:pPr>
        <w:spacing w:after="58"/>
      </w:pPr>
      <w:r>
        <w:rPr>
          <w:b w:val="0"/>
          <w:i w:val="0"/>
        </w:rPr>
        <w:t>•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• травм и операций не было</w:t>
      </w:r>
    </w:p>
    <w:p>
      <w:pPr>
        <w:spacing w:after="58"/>
      </w:pPr>
      <w:r>
        <w:rPr>
          <w:b w:val="0"/>
          <w:i w:val="0"/>
        </w:rPr>
        <w:t>•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• аллергических реакций не было</w:t>
      </w:r>
    </w:p>
    <w:p>
      <w:pPr>
        <w:spacing w:after="58"/>
      </w:pPr>
      <w:r>
        <w:rPr>
          <w:b w:val="0"/>
          <w:i w:val="0"/>
        </w:rPr>
        <w:t>• наследственный анамнез по сердечно-сосудистой патологии не отягощен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Кожные покровы бледной окраски, умеренной влажности. Дыхание везикулярное, проводится над всеми отделами, хрипов нет. ЧДД 18/мин. Тоны сердца приглушены, ритмичные. ЧСС 36 уд/мин, пульс 36 уд/мин, АД 160/90 мм.рт.ст. Шумы отчетливо не выслушиваются. Живот мягкий, безболезненный при пальпации во всех отделах. Печень не увеличена.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уровень тиреоидных гормонов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показатели билирубина и трансаминаз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уровень тропонина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уровень калия и креатинина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общий холестерин и его фракции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уровень тиреоидных гормонов; уровень тропонина крови; уровень калия и креатинина крови</w:t>
      </w:r>
    </w:p>
    <w:p>
      <w:pPr>
        <w:ind w:left="504"/>
      </w:pPr>
      <w:r>
        <w:rPr>
          <w:b w:val="0"/>
          <w:i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  <w:br/>
        <w:br/>
        <w:t>Гипотиреоз может быть одной из причин развития синусовой брадикардии.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исключения активного миокардита показано определение уровня тропонина крови.</w:t>
        <w:br/>
        <w:br/>
        <w:t>Всем пациентам с клиническим подозрением на миокардит рекомендуется определение тропонинов T и I.</w:t>
        <w:br/>
        <w:br/>
      </w:r>
      <w:hyperlink r:id="rId27">
        <w:r>
          <w:rPr>
            <w:color w:val="0F766E"/>
            <w:u w:val="single"/>
          </w:rPr>
          <w:t>Клинические рекомендации Минздрава России. Миокардиты, 2016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  <w:br/>
        <w:br/>
        <w:t>Гиперкалиемия на фоне ХБП может быть причиной брадикардии.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Уровень тропонина крови</w:t>
      </w:r>
    </w:p>
    <w:p>
      <w:pPr>
        <w:spacing w:after="58"/>
      </w:pPr>
      <w:r>
        <w:rPr>
          <w:b w:val="0"/>
          <w:i w:val="0"/>
        </w:rPr>
        <w:t>Тропонин Т 0,01 нг/мл (N: до 0,012 нг/мл)</w:t>
      </w:r>
    </w:p>
    <w:p>
      <w:pPr>
        <w:pStyle w:val="Heading3"/>
      </w:pPr>
      <w:r>
        <w:t>3.2. Уровень калия и креатинина крови</w:t>
      </w:r>
    </w:p>
    <w:p>
      <w:pPr>
        <w:spacing w:after="58"/>
      </w:pPr>
      <w:r>
        <w:rPr>
          <w:b w:val="0"/>
          <w:i w:val="0"/>
        </w:rPr>
        <w:t>Калий 4,3 ммоль/л (N: 3,5–5,0)</w:t>
      </w:r>
    </w:p>
    <w:p>
      <w:pPr>
        <w:spacing w:after="58"/>
      </w:pPr>
      <w:r>
        <w:rPr>
          <w:b w:val="0"/>
          <w:i w:val="0"/>
        </w:rPr>
        <w:t>Креатинин 82 мкмоль/л (N: 62-106 мкмоль/л)</w:t>
      </w:r>
    </w:p>
    <w:p>
      <w:pPr>
        <w:pStyle w:val="Heading3"/>
      </w:pPr>
      <w:r>
        <w:t>3.3. Уровень тиреоидных гормонов</w:t>
      </w:r>
    </w:p>
    <w:p>
      <w:pPr>
        <w:spacing w:after="58"/>
      </w:pPr>
      <w:r>
        <w:rPr>
          <w:b w:val="0"/>
          <w:i w:val="0"/>
        </w:rPr>
        <w:t>Тиреотропный гормон 3,02 мЕд/л (N: 0,25–3,5)</w:t>
      </w:r>
    </w:p>
    <w:p>
      <w:pPr>
        <w:spacing w:after="58"/>
      </w:pPr>
      <w:r>
        <w:rPr>
          <w:b w:val="0"/>
          <w:i w:val="0"/>
        </w:rPr>
        <w:t>Тироксин свободный 12,7 пмоль/л (N: 10–27)</w:t>
      </w:r>
    </w:p>
    <w:p>
      <w:pPr>
        <w:pStyle w:val="Heading3"/>
      </w:pPr>
      <w:r>
        <w:t>3.6. Общий холестерин и его фракции</w:t>
      </w:r>
    </w:p>
    <w:p>
      <w:pPr>
        <w:spacing w:after="58"/>
      </w:pPr>
      <w:r>
        <w:rPr>
          <w:b w:val="0"/>
          <w:i w:val="0"/>
        </w:rPr>
        <w:t>Общий холестерин   5,3 ммоль/л (N&lt;5,0)</w:t>
      </w:r>
    </w:p>
    <w:p>
      <w:pPr>
        <w:spacing w:after="58"/>
      </w:pPr>
      <w:r>
        <w:rPr>
          <w:b w:val="0"/>
          <w:i w:val="0"/>
        </w:rPr>
        <w:t>ЛПВП 1,14 ммоль/л (N&gt;1,2)</w:t>
      </w:r>
    </w:p>
    <w:p>
      <w:pPr>
        <w:spacing w:after="58"/>
      </w:pPr>
      <w:r>
        <w:rPr>
          <w:b w:val="0"/>
          <w:i w:val="0"/>
        </w:rPr>
        <w:t>ЛПНП 2,96 ммоль/л (N&lt;3,0)</w:t>
      </w:r>
    </w:p>
    <w:p>
      <w:pPr>
        <w:spacing w:after="58"/>
      </w:pPr>
      <w:r>
        <w:rPr>
          <w:b w:val="0"/>
          <w:i w:val="0"/>
        </w:rPr>
        <w:t>Триглицериды 1,9 ммоль/л (N&lt;1,7)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регистрация ЭКГ в 12 отведениях на амбулаторном приёме аритмолога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суточное мониторирование ЭКГ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брахиоцефальных артерий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легких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сцинтиграфия миокарда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регистрация ЭКГ в 12 отведениях на амбулаторном приёме аритмолога; суточное мониторирование ЭКГ</w:t>
      </w:r>
    </w:p>
    <w:p>
      <w:pPr>
        <w:ind w:left="504"/>
      </w:pPr>
      <w:r>
        <w:rPr>
          <w:b w:val="0"/>
          <w:i/>
        </w:rPr>
        <w:t>Рекомендуется во всех случаях подозрения на БА регистрировать стандартную ЭКГ в 12 отведениях.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выявления БА и выполнения клинико-электрокардиографической корреляции, выявления сопутствующих нарушений ритма, а также для оценки хронотропной функции сердца, рекомендуется проведение длительного мониторирования ЭКГ.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Регистрация ЭКГ в 12 отведениях на амбулаторном приёме аритмолога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172192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a4147fd4921d7bff3f5adcb96d4e5212bdfcddd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72192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Регистрация ЭКГ в 12 отведениях на амбулаторном приёме аритмолога</w:t>
      </w:r>
    </w:p>
    <w:p>
      <w:pPr>
        <w:pStyle w:val="Heading3"/>
      </w:pPr>
      <w:r>
        <w:t>5.2. Суточное мониторирование ЭКГ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592020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0df3c42f5e48272d9aac66f45b10a430b916a86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9202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Суточное мониторирование ЭКГ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503986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5f2e58cb2c6d1112b589eecf444a6aa03eeb26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398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Суточное мониторирование ЭКГ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Анализируя полученные данные,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Синоатриальная блокада 2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Атриовентрикулярная блокада 2 степени типа 2:1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Атриовентрикулярная блокада 3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Атриовентрикулярная блокада 1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Атриовентрикулярная блокада 2 степени типа 2:1</w:t>
      </w:r>
    </w:p>
    <w:p>
      <w:pPr>
        <w:ind w:left="504"/>
      </w:pPr>
      <w:r>
        <w:rPr>
          <w:b w:val="0"/>
          <w:i/>
        </w:rPr>
        <w:t>По степени выраженности нарушений различают:</w:t>
        <w:br/>
        <w:br/>
        <w:t>ПЖБ I степени — замедление проведения импульса от предсердий к желудочкам с проведением каждого импульса;</w:t>
        <w:br/>
        <w:br/>
        <w:t>ПЖБ II степени - периодические прерывания проведения предсердных импульсов на желудочки.</w:t>
        <w:br/>
        <w:br/>
        <w:t>Она имеет три разновидности:</w:t>
        <w:br/>
        <w:br/>
        <w:t>Мобитц тип I— блокирование импульса с предшествующим прогрессивным замедлением проведения от предсердий к желудочкам (периодика Венкебаха);</w:t>
        <w:br/>
        <w:br/>
        <w:t>Мобитц тип II— блокирование импульса без предшествующего удлинения времени предсердно-желудочкового проведения;</w:t>
        <w:br/>
        <w:br/>
        <w:t>Далекозашедшая ПЖБ II степени — блокирование каждого второго или нескольких подряд предсердных импульсов.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Атриовентрикулярная блокада 2 степени типа 2:1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Разновидности АВ-блокады 2 степени включают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мобитц-I, мобитц-II и далекозашедшую АВ-блокаду 2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блокаду правой ножки пучка Гиса и блокаду левой ножки пучка Гиса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Фредерика и приступы Морганьи-Адамса-Стокса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внутрижелудочковую блокаду и арборизационную блокаду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мобитц-I, мобитц-II и далекозашедшую АВ-блокаду 2 степени</w:t>
      </w:r>
    </w:p>
    <w:p>
      <w:pPr>
        <w:ind w:left="504"/>
      </w:pPr>
      <w:r>
        <w:rPr>
          <w:b w:val="0"/>
          <w:i/>
        </w:rPr>
        <w:t>АВ-блокада 2 степени имеет 3 разновидности:</w:t>
        <w:br/>
        <w:br/>
        <w:t>Мобитц тип I— блокирование импульса с предшествующим прогрессивным замедлением проведения от предсердий к желудочкам (периодика Венкебаха);</w:t>
        <w:br/>
        <w:br/>
        <w:t>Мобитц тип II— блокирование импульса без предшествующего удлинения времени предсердно-желудочкового проведения;</w:t>
        <w:br/>
        <w:br/>
        <w:t>Далекозашедшая ПЖБ II степени — блокирование каждого второго или нескольких подряд предсердных импульсов.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Пациентке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плановая госпитализация в стационар по месту жительства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госпитализация в дневной стационар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медикаментозная терапия с целью коррекции нарушений ритма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ind w:left="504"/>
      </w:pPr>
      <w:r>
        <w:rPr>
          <w:b w:val="0"/>
          <w:i/>
        </w:rPr>
        <w:t>У пациентки имеется гемодинамически значимая брадикардия, на фоне атриовентрикулярной блокады 2 степени, которая может привести к тяжелым жизнеугрожающим осложнениям на фоне отсутствия специфического лечения. В большинстве случаев таковым будет являться установка временного ЭКС в условиях стационара. Дообследование необходимо для исключения обратимых причин АВ-блокады.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исключении обратимых причин атриовентрикулярной блокады следующим этапом пациентке будет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медикаментозная терапия атриовентрикулярной блокады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имплантация постоянного ЭКС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имплантация петлевого регистратора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восстановление нормального АВ-проведения методом чреспищеводной электрокардиостимуляции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имплантация постоянного ЭКС</w:t>
      </w:r>
    </w:p>
    <w:p>
      <w:pPr>
        <w:ind w:left="504"/>
      </w:pPr>
      <w:r>
        <w:rPr>
          <w:b w:val="0"/>
          <w:i/>
        </w:rPr>
        <w:t>Рекомендуется имплантация ЭКС больным с ПЖБ второй степени вне зависимости от типа или уровня блокады в сочетании с брадикардией, сопровождающейся клиническими проявлениями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Предпочтительным режимом постоянной электрокардиостимуляции у данной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двухкамерная последовательная стимуляция предсердий и желудочков стимуляция (DDD)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однокамерная предсердная стимуляция (AAI)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однокамерная желудочковая стимуляция (VVI)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бивентрикулярная ресинхронизирующая стимуляция (CRT)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двухкамерная последовательная стимуляция предсердий и желудочков стимуляция (DDD)</w:t>
      </w:r>
    </w:p>
    <w:p>
      <w:pPr>
        <w:ind w:left="504"/>
      </w:pPr>
      <w:r>
        <w:rPr>
          <w:b w:val="0"/>
          <w:i/>
        </w:rPr>
        <w:t>Пациентам с приобретенными ПЖБ и синусовым ритмом рекомендуется двухкамерная стимуляция (DDD).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Функция частотной адаптации для данной пациентки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будет показана при наличии сопутствующей блокады ножек пучка Гиса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абсолютно показана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абсолютна не показана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будет показана при наличии сопутствующей хронотропной некомпетентности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будет показана при наличии сопутствующей хронотропной некомпетентности</w:t>
      </w:r>
    </w:p>
    <w:p>
      <w:pPr>
        <w:ind w:left="504"/>
      </w:pPr>
      <w:r>
        <w:rPr>
          <w:b w:val="0"/>
          <w:i/>
        </w:rPr>
        <w:t>Пациентам с приобретенными ПЖБ и синусовым ритмом рекомендуется двухкамерная стимуляция (DDD) с использованием частотно-адаптивной функции (DDDR) при наличии хронотропной недостаточности СУ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частым осложнением при проведении имплантации ЭКС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пневмоторакс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гемоперикард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дислокация эндокардиального электрода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интраоперационный инфаркт миокарда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дислокация эндокардиального электрода</w:t>
      </w:r>
    </w:p>
    <w:p>
      <w:pPr>
        <w:ind w:left="504"/>
      </w:pPr>
      <w:r>
        <w:rPr>
          <w:b w:val="0"/>
          <w:i/>
        </w:rPr>
        <w:t>Наиболее частыми осложнениями являются: дислокация и перелом электрода, а также осложнения, связанные с проникновением инфекции в ложе и сосудистое русло.</w:t>
        <w:br/>
        <w:br/>
        <w:t>(ВНОА «Клинические рекомендации по проведению электрофизиологических исследований, катетерной абляции и применению имплантируемых антиаритмических устройств», 2017 год, стр. 77)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Хронотропным индексом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разница между предсказанной по возрасту максимальной ЧСС и пиковой ЧСС на максимуме нагрузки, умноженная на 100%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разница между предсказанной по возрасту максимальной ЧСС и ЧСС покоя, умноженная на 100%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невозможность достижения субмаксимальной ЧСС при проведении пробы с физической нагрузкой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ind w:left="504"/>
      </w:pPr>
      <w:r>
        <w:rPr>
          <w:b w:val="0"/>
          <w:i/>
        </w:rPr>
        <w:t>Для диагностики хронотропной несостоятельности определяют так называемый хронотропный индекс, который вычисляют по результатам пробы с физической нагрузкой (ПФН) по протоколу максимальной по переносимости, лимитированной симптомами физической нагрузки. Он представляет собой отношение разности между пиковой ЧСС на максимуме нагрузки и ЧСС покоя (хронотропный ответ) к разности между предсказанной по возрасту максимальной ЧСС, вычисляемой по формуле (220 – возраст) (имп/мин) и ЧСС покоя (хронотропный резерв) [5]. Полагают, что в норме величина хронотропного индекса ≥80%. Изучение хронотропной функции у больных с дисфункцией синусового узла оказывается крайне ценным в связи с выбором частотно-адаптивной функции ЭКС, планируемого для имплантации.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Последующие контрольные визиты по плановому программированию ЭКС должны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дважды в первые 6 месяцев, затем каждые 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ежемесячно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2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дважды в первые 6 месяцев, затем каждые 6 месяцев</w:t>
      </w:r>
    </w:p>
    <w:p>
      <w:pPr>
        <w:ind w:left="504"/>
      </w:pPr>
      <w:r>
        <w:rPr>
          <w:b w:val="0"/>
          <w:i/>
        </w:rPr>
        <w:t>Пациенты с имплантированным однокамерным ЭКС должны быть осмотрены дважды в течение полугода после имплантации и затем ежегодно; пациенты с двухкамерными ЭКС – дважды в первые 6 месяцев, затем каждые полгода.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Дальнейшая реабилитация пациентам после имплантации ЭКС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показана в условиях дневного стационара по месту жительства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показана в местных санаториях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показана в санаториях федерального значения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показана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показана</w:t>
      </w:r>
    </w:p>
    <w:p>
      <w:pPr>
        <w:ind w:left="504"/>
      </w:pPr>
      <w:r>
        <w:rPr>
          <w:b w:val="0"/>
          <w:i/>
        </w:rPr>
        <w:t>Пациенты с имплантированными ЭКС в реабилитации не нуждаются.</w:t>
        <w:br/>
        <w:br/>
      </w:r>
      <w:hyperlink r:id="rId25">
        <w:r>
          <w:rPr>
            <w:color w:val="0F766E"/>
            <w:u w:val="single"/>
          </w:rPr>
          <w:t>Клинические рекомендации Минздрава России. Брадиаритмии, 2016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283_2/" TargetMode="External"/><Relationship Id="rId10" Type="http://schemas.openxmlformats.org/officeDocument/2006/relationships/hyperlink" Target="https://library.mededtech.ru/rest/documents/KP283_2/#list_item_odot6g" TargetMode="External"/><Relationship Id="rId11" Type="http://schemas.openxmlformats.org/officeDocument/2006/relationships/hyperlink" Target="https://library.mededtech.ru/rest/documents/KP283_2/#list_item_tf9fcs" TargetMode="External"/><Relationship Id="rId12" Type="http://schemas.openxmlformats.org/officeDocument/2006/relationships/hyperlink" Target="https://library.mededtech.ru/rest/documents/KP283_2/#list_item_h7pmif" TargetMode="External"/><Relationship Id="rId13" Type="http://schemas.openxmlformats.org/officeDocument/2006/relationships/hyperlink" Target="https://library.mededtech.ru/rest/documents/KP283_2/#list_item_enu627" TargetMode="External"/><Relationship Id="rId14" Type="http://schemas.openxmlformats.org/officeDocument/2006/relationships/hyperlink" Target="https://library.mededtech.ru/rest/documents/KP283_2/#list_item_0k76p6" TargetMode="External"/><Relationship Id="rId15" Type="http://schemas.openxmlformats.org/officeDocument/2006/relationships/hyperlink" Target="https://library.mededtech.ru/rest/documents/KP283_2/#list_item_a57fbl" TargetMode="External"/><Relationship Id="rId16" Type="http://schemas.openxmlformats.org/officeDocument/2006/relationships/hyperlink" Target="https://library.mededtech.ru/rest/documents/KP283_2/#paragraph_gcrckb" TargetMode="External"/><Relationship Id="rId17" Type="http://schemas.openxmlformats.org/officeDocument/2006/relationships/hyperlink" Target="https://library.mededtech.ru/rest/documents/KP283_2/#paragraph_6brdlr" TargetMode="External"/><Relationship Id="rId18" Type="http://schemas.openxmlformats.org/officeDocument/2006/relationships/hyperlink" Target="https://library.mededtech.ru/rest/documents/KP283_2/#list_item_m5cibe" TargetMode="External"/><Relationship Id="rId19" Type="http://schemas.openxmlformats.org/officeDocument/2006/relationships/hyperlink" Target="https://library.mededtech.ru/rest/documents/KP283_2/#list_item_svl01l" TargetMode="External"/><Relationship Id="rId20" Type="http://schemas.openxmlformats.org/officeDocument/2006/relationships/hyperlink" Target="https://library.mededtech.ru/rest/documents/KP283_2/#paragraph_51217u" TargetMode="External"/><Relationship Id="rId21" Type="http://schemas.openxmlformats.org/officeDocument/2006/relationships/hyperlink" Target="https://library.mededtech.ru/rest/documents/KP283_2/#list_item_a55puo" TargetMode="External"/><Relationship Id="rId22" Type="http://schemas.openxmlformats.org/officeDocument/2006/relationships/hyperlink" Target="https://library.mededtech.ru/rest/documents/KP283_2/#list_item_utngla" TargetMode="External"/><Relationship Id="rId23" Type="http://schemas.openxmlformats.org/officeDocument/2006/relationships/hyperlink" Target="https://library.mededtech.ru/rest/documents/KP283_2/#list_item_qtev7s" TargetMode="External"/><Relationship Id="rId24" Type="http://schemas.openxmlformats.org/officeDocument/2006/relationships/hyperlink" Target="https://library.mededtech.ru/rest/documents/KP283_2/#paragraph_6t9v8v" TargetMode="External"/><Relationship Id="rId25" Type="http://schemas.openxmlformats.org/officeDocument/2006/relationships/hyperlink" Target="https://library.mededtech.ru/rest/documents/cr_138" TargetMode="External"/><Relationship Id="rId26" Type="http://schemas.openxmlformats.org/officeDocument/2006/relationships/hyperlink" Target="https://library.mededtech.ru/rest/documents/cr_138/#list_item_7e4mk" TargetMode="External"/><Relationship Id="rId27" Type="http://schemas.openxmlformats.org/officeDocument/2006/relationships/hyperlink" Target="https://library.mededtech.ru/rest/documents/cr_131" TargetMode="External"/><Relationship Id="rId28" Type="http://schemas.openxmlformats.org/officeDocument/2006/relationships/hyperlink" Target="https://library.mededtech.ru/rest/documents/cr_131/#list_item_nc8ho" TargetMode="External"/><Relationship Id="rId29" Type="http://schemas.openxmlformats.org/officeDocument/2006/relationships/hyperlink" Target="https://library.mededtech.ru/rest/documents/cr_138/#list_item_j1bft" TargetMode="External"/><Relationship Id="rId30" Type="http://schemas.openxmlformats.org/officeDocument/2006/relationships/hyperlink" Target="https://library.mededtech.ru/rest/documents/cr_138/#list_item_36dt9" TargetMode="External"/><Relationship Id="rId31" Type="http://schemas.openxmlformats.org/officeDocument/2006/relationships/image" Target="media/image1.png"/><Relationship Id="rId32" Type="http://schemas.openxmlformats.org/officeDocument/2006/relationships/image" Target="media/image2.png"/><Relationship Id="rId33" Type="http://schemas.openxmlformats.org/officeDocument/2006/relationships/image" Target="media/image3.png"/><Relationship Id="rId34" Type="http://schemas.openxmlformats.org/officeDocument/2006/relationships/hyperlink" Target="https://library.mededtech.ru/rest/documents/cr_138/#paragraph_m0h3u" TargetMode="External"/><Relationship Id="rId35" Type="http://schemas.openxmlformats.org/officeDocument/2006/relationships/hyperlink" Target="https://library.mededtech.ru/rest/documents/cr_138/#paragraph_0vp64" TargetMode="External"/><Relationship Id="rId36" Type="http://schemas.openxmlformats.org/officeDocument/2006/relationships/hyperlink" Target="https://library.mededtech.ru/rest/documents/cr_138/#list_item_3rutl" TargetMode="External"/><Relationship Id="rId37" Type="http://schemas.openxmlformats.org/officeDocument/2006/relationships/hyperlink" Target="https://library.mededtech.ru/rest/documents/cr_138/#list_item_5bem6" TargetMode="External"/><Relationship Id="rId38" Type="http://schemas.openxmlformats.org/officeDocument/2006/relationships/hyperlink" Target="https://library.mededtech.ru/rest/documents/cr_138/#list_item_ndh43" TargetMode="External"/><Relationship Id="rId39" Type="http://schemas.openxmlformats.org/officeDocument/2006/relationships/hyperlink" Target="https://library.mededtech.ru/rest/documents/cr_138/#paragraph_dugtt" TargetMode="External"/><Relationship Id="rId40" Type="http://schemas.openxmlformats.org/officeDocument/2006/relationships/hyperlink" Target="https://library.mededtech.ru/rest/documents/cr_138/#paragraph_4chui" TargetMode="External"/><Relationship Id="rId41" Type="http://schemas.openxmlformats.org/officeDocument/2006/relationships/hyperlink" Target="https://library.mededtech.ru/rest/documents/cr_138/#paragraph_lmh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